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  <w:r w:rsidRPr="008D3174">
        <w:rPr>
          <w:rFonts w:ascii="Times New Roman" w:hAnsi="Times New Roman" w:cs="Times New Roman"/>
          <w:sz w:val="24"/>
          <w:szCs w:val="24"/>
        </w:rPr>
        <w:t>Ditado_0</w:t>
      </w:r>
      <w:r w:rsidR="00D47D58">
        <w:rPr>
          <w:rFonts w:ascii="Times New Roman" w:hAnsi="Times New Roman" w:cs="Times New Roman"/>
          <w:sz w:val="24"/>
          <w:szCs w:val="24"/>
        </w:rPr>
        <w:t>3</w:t>
      </w:r>
    </w:p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8D3174" w:rsidRDefault="00D47D58" w:rsidP="005960E8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Quarta Turma, julgando apelação interposta pela Fazenda Nacional, por maioria, considerou inconstitucional o artigo primeiro, inciso primeiro, da Lei oito mil e trinta e quatro, de doze de abril de mil novecentos e noventa, oriunda da Medida Provisória cento e sessenta e um, de quinze de março de mil novecentos e noventa, dispositivo que, no curso do ano-base de mil novecentos e noventa, determinou que, no exercício seguinte, a alíquota do Importo de Renda, sobre o lucro decorrente de exportações de produtos manufaturados nacionais e serviços, passaria para trinta por cento.  O voto condutor do julgamento, ao qual </w:t>
      </w:r>
      <w:proofErr w:type="gramStart"/>
      <w:r>
        <w:rPr>
          <w:rFonts w:ascii="Times New Roman" w:hAnsi="Times New Roman" w:cs="Times New Roman"/>
          <w:sz w:val="24"/>
          <w:szCs w:val="24"/>
        </w:rPr>
        <w:t>aderi,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iniciativa do Juiz João Fagundes, mereceria aplicação da reserva de plenário, e nele argumentei que, estando em vigor, no ano de mil novecentos e noventa, a Lei oito mil e trinta e quatro, a sua eficácia no exercício...</w:t>
      </w:r>
      <w:bookmarkStart w:id="0" w:name="_GoBack"/>
      <w:bookmarkEnd w:id="0"/>
    </w:p>
    <w:p w:rsidR="008D3174" w:rsidRPr="008D3174" w:rsidRDefault="008D3174" w:rsidP="008D31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D3174" w:rsidRDefault="008D3174" w:rsidP="008D3174">
      <w:pPr>
        <w:spacing w:line="600" w:lineRule="auto"/>
      </w:pPr>
    </w:p>
    <w:sectPr w:rsidR="008D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271F4F"/>
    <w:rsid w:val="005960E8"/>
    <w:rsid w:val="007107FF"/>
    <w:rsid w:val="008D3174"/>
    <w:rsid w:val="00D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2012-06-11T10:41:00Z</dcterms:created>
  <dcterms:modified xsi:type="dcterms:W3CDTF">2012-06-11T10:46:00Z</dcterms:modified>
</cp:coreProperties>
</file>