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1F" w:rsidRDefault="0084571F"/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cento e quatro</w:t>
      </w:r>
      <w:r w:rsidRPr="000E7021">
        <w:rPr>
          <w:rFonts w:ascii="Times New Roman" w:hAnsi="Times New Roman" w:cs="Times New Roman"/>
          <w:sz w:val="24"/>
          <w:szCs w:val="24"/>
        </w:rPr>
        <w:t>. Os prazos não especificados na lei processual ou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neste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Regimento serão fixados pelo Plenário, pelo Presidente, pelas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 xml:space="preserve">Seções Especializadas, pelas Turmas ou por seus Presidentes, </w:t>
      </w:r>
      <w:proofErr w:type="gramStart"/>
      <w:r w:rsidRPr="000E702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pelo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Relator, conforme o caso.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cento e cinco</w:t>
      </w:r>
      <w:r w:rsidRPr="000E7021">
        <w:rPr>
          <w:rFonts w:ascii="Times New Roman" w:hAnsi="Times New Roman" w:cs="Times New Roman"/>
          <w:sz w:val="24"/>
          <w:szCs w:val="24"/>
        </w:rPr>
        <w:t xml:space="preserve">. Os prazos para os Desembargadores Federais, </w:t>
      </w:r>
      <w:proofErr w:type="gramStart"/>
      <w:r w:rsidRPr="000E7021">
        <w:rPr>
          <w:rFonts w:ascii="Times New Roman" w:hAnsi="Times New Roman" w:cs="Times New Roman"/>
          <w:sz w:val="24"/>
          <w:szCs w:val="24"/>
        </w:rPr>
        <w:t>salvo</w:t>
      </w:r>
      <w:proofErr w:type="gramEnd"/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acúmulo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de serviço e se de outra forma não dispuser este Regimento,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os seguintes: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I - de dez dias para os atos administrativos e despachos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geral;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II - de trinta dias para o “visto” do Relator;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III - de vinte dias para o “visto” do Revisor.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cento e seis</w:t>
      </w:r>
      <w:r w:rsidRPr="000E7021">
        <w:rPr>
          <w:rFonts w:ascii="Times New Roman" w:hAnsi="Times New Roman" w:cs="Times New Roman"/>
          <w:sz w:val="24"/>
          <w:szCs w:val="24"/>
        </w:rPr>
        <w:t xml:space="preserve">. Salvo disposição em contrário, os servidores </w:t>
      </w:r>
      <w:proofErr w:type="gramStart"/>
      <w:r w:rsidRPr="000E7021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Tribunal terão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o prazo de quarenta e oito horas para a prática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atos processuais.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Seção IV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Das Custas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cento e sete</w:t>
      </w:r>
      <w:r w:rsidRPr="000E70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21">
        <w:rPr>
          <w:rFonts w:ascii="Times New Roman" w:hAnsi="Times New Roman" w:cs="Times New Roman"/>
          <w:sz w:val="24"/>
          <w:szCs w:val="24"/>
        </w:rPr>
        <w:t xml:space="preserve"> No Tribunal, serão devidas custas nos processos </w:t>
      </w:r>
      <w:proofErr w:type="gramStart"/>
      <w:r w:rsidRPr="000E7021"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sua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competência originária e recursal, na forma da lei e segundo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tabela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aprovada por resolução.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cento e oito</w:t>
      </w:r>
      <w:r w:rsidRPr="000E7021">
        <w:rPr>
          <w:rFonts w:ascii="Times New Roman" w:hAnsi="Times New Roman" w:cs="Times New Roman"/>
          <w:sz w:val="24"/>
          <w:szCs w:val="24"/>
        </w:rPr>
        <w:t>. O preparo de recursos da competência de outro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 xml:space="preserve">Tribunal, do Superior Tribunal de Justiça ou do Supremo </w:t>
      </w:r>
      <w:proofErr w:type="gramStart"/>
      <w:r w:rsidRPr="000E7021">
        <w:rPr>
          <w:rFonts w:ascii="Times New Roman" w:hAnsi="Times New Roman" w:cs="Times New Roman"/>
          <w:sz w:val="24"/>
          <w:szCs w:val="24"/>
        </w:rPr>
        <w:t>Tribunal</w:t>
      </w:r>
      <w:proofErr w:type="gramEnd"/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Federal será feito no prazo e na forma previstos nas normas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lastRenderedPageBreak/>
        <w:t>respectivas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>.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Seção V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Da Assistência Judiciária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cento e nove</w:t>
      </w:r>
      <w:r w:rsidRPr="000E7021">
        <w:rPr>
          <w:rFonts w:ascii="Times New Roman" w:hAnsi="Times New Roman" w:cs="Times New Roman"/>
          <w:sz w:val="24"/>
          <w:szCs w:val="24"/>
        </w:rPr>
        <w:t>. A solicitação do benefício da assistência judiciária no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 xml:space="preserve">Tribunal será </w:t>
      </w:r>
      <w:proofErr w:type="gramStart"/>
      <w:r w:rsidRPr="000E7021">
        <w:rPr>
          <w:rFonts w:ascii="Times New Roman" w:hAnsi="Times New Roman" w:cs="Times New Roman"/>
          <w:sz w:val="24"/>
          <w:szCs w:val="24"/>
        </w:rPr>
        <w:t>apresentada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ao Relator, conforme o estado do processo.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Parágrafo único. Prevalecerá no Tribunal a assistência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judiciária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já concedida em outra instância.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cento e dez</w:t>
      </w:r>
      <w:r w:rsidRPr="000E7021">
        <w:rPr>
          <w:rFonts w:ascii="Times New Roman" w:hAnsi="Times New Roman" w:cs="Times New Roman"/>
          <w:sz w:val="24"/>
          <w:szCs w:val="24"/>
        </w:rPr>
        <w:t>. Nos crimes de ação privada, o Presidente ou o Relator,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requerimento da parte que comprovar sua pobreza, nomeará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advogado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para promover a ação penal, quando de competência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originária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do Tribunal, ou para prosseguir no processo, quando em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grau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de recurso.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Seção VI</w:t>
      </w:r>
      <w:proofErr w:type="gramEnd"/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Dos Dados Estatísticos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cento e onze</w:t>
      </w:r>
      <w:r w:rsidRPr="000E7021">
        <w:rPr>
          <w:rFonts w:ascii="Times New Roman" w:hAnsi="Times New Roman" w:cs="Times New Roman"/>
          <w:sz w:val="24"/>
          <w:szCs w:val="24"/>
        </w:rPr>
        <w:t>. Serão divulgados pelo sítio do Tribunal na rede mundial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computadores os dados estatísticos sobre os trabalhos do Tribunal,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entre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os quais o número de votos que cada um de seus membros,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nominalmente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indicados, proferiu como Relator e Revisor; o número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feitos que lhe foram distribuídos no mesmo período; o número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processos que recebeu em conseq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E7021">
        <w:rPr>
          <w:rFonts w:ascii="Times New Roman" w:hAnsi="Times New Roman" w:cs="Times New Roman"/>
          <w:sz w:val="24"/>
          <w:szCs w:val="24"/>
        </w:rPr>
        <w:t>ência de pedido de vista ou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Revisor; a relação dos feitos que lhe foram conclusos para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voto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>, despacho e lavratura de acórdão, ainda não devolvidos, embora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decorridos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os prazos legais, com as datas das respectivas conclusões.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lastRenderedPageBreak/>
        <w:t>TÍTULO II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Da Jurisprudência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CAPÍTULO I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Da Uniformização de Jurisprudência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cento e doze</w:t>
      </w:r>
      <w:r w:rsidRPr="000E7021">
        <w:rPr>
          <w:rFonts w:ascii="Times New Roman" w:hAnsi="Times New Roman" w:cs="Times New Roman"/>
          <w:sz w:val="24"/>
          <w:szCs w:val="24"/>
        </w:rPr>
        <w:t>. No processo em que haja sido suscitado o incidente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uniformização de jurisprudência, o julgamento terá por objeto: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E7021">
        <w:rPr>
          <w:rFonts w:ascii="Times New Roman" w:hAnsi="Times New Roman" w:cs="Times New Roman"/>
          <w:sz w:val="24"/>
          <w:szCs w:val="24"/>
        </w:rPr>
        <w:t>- o reconhecimento da divergência acerca da interpretação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direito, quando inexistir súmula compendiada;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II - a aceitação de proposta de revisão da súmula compendiada.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021">
        <w:rPr>
          <w:rFonts w:ascii="Times New Roman" w:hAnsi="Times New Roman" w:cs="Times New Roman"/>
          <w:sz w:val="24"/>
          <w:szCs w:val="24"/>
        </w:rPr>
        <w:t>Parágrafo único. Reconhecida a divergência acerca da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interpretação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 xml:space="preserve"> do direito, ou aceita a proposta de revisão da súmula</w:t>
      </w:r>
    </w:p>
    <w:p w:rsidR="007B6577" w:rsidRPr="000E7021" w:rsidRDefault="007B6577" w:rsidP="007B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021">
        <w:rPr>
          <w:rFonts w:ascii="Times New Roman" w:hAnsi="Times New Roman" w:cs="Times New Roman"/>
          <w:sz w:val="24"/>
          <w:szCs w:val="24"/>
        </w:rPr>
        <w:t>compendiada</w:t>
      </w:r>
      <w:proofErr w:type="gramEnd"/>
      <w:r w:rsidRPr="000E7021">
        <w:rPr>
          <w:rFonts w:ascii="Times New Roman" w:hAnsi="Times New Roman" w:cs="Times New Roman"/>
          <w:sz w:val="24"/>
          <w:szCs w:val="24"/>
        </w:rPr>
        <w:t>, lavrar-se-á o acórdão.</w:t>
      </w:r>
    </w:p>
    <w:p w:rsidR="007B6577" w:rsidRDefault="007B6577" w:rsidP="007B6577">
      <w:r w:rsidRPr="000E702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cento e</w:t>
      </w:r>
      <w:r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sectPr w:rsidR="007B65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49" w:rsidRDefault="009F4449" w:rsidP="007B6577">
      <w:pPr>
        <w:spacing w:after="0" w:line="240" w:lineRule="auto"/>
      </w:pPr>
      <w:r>
        <w:separator/>
      </w:r>
    </w:p>
  </w:endnote>
  <w:endnote w:type="continuationSeparator" w:id="0">
    <w:p w:rsidR="009F4449" w:rsidRDefault="009F4449" w:rsidP="007B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49" w:rsidRDefault="009F4449" w:rsidP="007B6577">
      <w:pPr>
        <w:spacing w:after="0" w:line="240" w:lineRule="auto"/>
      </w:pPr>
      <w:r>
        <w:separator/>
      </w:r>
    </w:p>
  </w:footnote>
  <w:footnote w:type="continuationSeparator" w:id="0">
    <w:p w:rsidR="009F4449" w:rsidRDefault="009F4449" w:rsidP="007B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488470"/>
      <w:docPartObj>
        <w:docPartGallery w:val="Page Numbers (Top of Page)"/>
        <w:docPartUnique/>
      </w:docPartObj>
    </w:sdtPr>
    <w:sdtContent>
      <w:p w:rsidR="007B6577" w:rsidRDefault="007B657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6577" w:rsidRDefault="007B65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77"/>
    <w:rsid w:val="007B6577"/>
    <w:rsid w:val="0084571F"/>
    <w:rsid w:val="009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6577"/>
  </w:style>
  <w:style w:type="paragraph" w:styleId="Rodap">
    <w:name w:val="footer"/>
    <w:basedOn w:val="Normal"/>
    <w:link w:val="RodapChar"/>
    <w:uiPriority w:val="99"/>
    <w:unhideWhenUsed/>
    <w:rsid w:val="007B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6577"/>
  </w:style>
  <w:style w:type="paragraph" w:styleId="Rodap">
    <w:name w:val="footer"/>
    <w:basedOn w:val="Normal"/>
    <w:link w:val="RodapChar"/>
    <w:uiPriority w:val="99"/>
    <w:unhideWhenUsed/>
    <w:rsid w:val="007B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2012-05-01T19:47:00Z</dcterms:created>
  <dcterms:modified xsi:type="dcterms:W3CDTF">2012-05-01T19:48:00Z</dcterms:modified>
</cp:coreProperties>
</file>